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29D80CF" w:rsidR="005A7127" w:rsidRPr="00FC3F8A" w:rsidRDefault="008F2810" w:rsidP="008F2810">
      <w:hyperlink r:id="rId7" w:history="1">
        <w:r w:rsidRPr="00EE706E">
          <w:rPr>
            <w:rStyle w:val="Collegamentoipertestuale"/>
          </w:rPr>
          <w:t>https://www.lasicilia.it/economia/massimo-mocio-confermato-presidente-di-assiom-forex-2410098/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economia/massimo-mocio-confermato-presidente-di-assiom-forex-241009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2025-02-24T13:44:00Z</dcterms:created>
  <dcterms:modified xsi:type="dcterms:W3CDTF">2025-02-24T13:44:00Z</dcterms:modified>
</cp:coreProperties>
</file>